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FA" w:rsidRDefault="00D737FA" w:rsidP="00381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7FA">
        <w:rPr>
          <w:rFonts w:ascii="Times New Roman" w:hAnsi="Times New Roman" w:cs="Times New Roman"/>
          <w:b/>
          <w:caps/>
          <w:sz w:val="28"/>
          <w:szCs w:val="28"/>
        </w:rPr>
        <w:t>Анализ воздействий предприятий химического комплекса Гомельской области на уровень заболеваемости населения</w:t>
      </w:r>
    </w:p>
    <w:p w:rsidR="00381920" w:rsidRPr="00004676" w:rsidRDefault="00381920" w:rsidP="00381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920" w:rsidRDefault="00381920" w:rsidP="0038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С. Кутай</w:t>
      </w:r>
    </w:p>
    <w:p w:rsidR="00381920" w:rsidRPr="00004676" w:rsidRDefault="00381920" w:rsidP="00381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676">
        <w:rPr>
          <w:rFonts w:ascii="Times New Roman" w:hAnsi="Times New Roman" w:cs="Times New Roman"/>
          <w:sz w:val="28"/>
          <w:szCs w:val="28"/>
        </w:rPr>
        <w:t xml:space="preserve"> (Научный руководитель </w:t>
      </w:r>
      <w:r w:rsidRPr="007D483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3D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3D">
        <w:rPr>
          <w:rFonts w:ascii="Times New Roman" w:hAnsi="Times New Roman" w:cs="Times New Roman"/>
          <w:sz w:val="28"/>
          <w:szCs w:val="28"/>
        </w:rPr>
        <w:t>Осипенко</w:t>
      </w:r>
      <w:r w:rsidRPr="000046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ст. </w:t>
      </w:r>
      <w:r w:rsidRPr="004C6427">
        <w:rPr>
          <w:rFonts w:ascii="Times New Roman" w:hAnsi="Times New Roman" w:cs="Times New Roman"/>
          <w:sz w:val="28"/>
          <w:szCs w:val="28"/>
          <w:lang w:val="be-BY"/>
        </w:rPr>
        <w:t xml:space="preserve">преподаватель </w:t>
      </w:r>
      <w:r w:rsidRPr="00004676">
        <w:rPr>
          <w:rFonts w:ascii="Times New Roman" w:hAnsi="Times New Roman" w:cs="Times New Roman"/>
          <w:sz w:val="28"/>
          <w:szCs w:val="28"/>
        </w:rPr>
        <w:t>кафедры экологии)</w:t>
      </w:r>
    </w:p>
    <w:p w:rsidR="00381920" w:rsidRDefault="00381920" w:rsidP="0038192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D737FA" w:rsidRDefault="00D737FA" w:rsidP="00D73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Объекты химических производств относятся к точкам высокой опасности загрязнения среды токсическими веществами. При работе многих из них в окружающую среду поступают опасные вещества. Объемы этих выбросов, по сравнению, например, с отходами горнодобывающей отрасли, относительно невелики, но могут нанести природе существенный вред. Многие отходы токсичны,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их хранение представляет собой проблему. На отвальных площадках находятся огромные массы различных остатков переработки, которые продолжают приносить колоссальный вред окружающей среде. При процессах водной и ветровой эрозии опасные вещества попадают в атмосферу, воду и почву.</w:t>
      </w:r>
    </w:p>
    <w:p w:rsidR="00D737FA" w:rsidRDefault="00D737FA" w:rsidP="00D73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предприятий химической промышленности как источников загрязнения окружающей среды в нашей стране определяется не только количеством выбрасываемых веществ в условиях нормальной работы производств, но и неконтролируемыми выбросами токсичных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авариях.</w:t>
      </w:r>
    </w:p>
    <w:p w:rsidR="00D737FA" w:rsidRDefault="00D737FA" w:rsidP="00D73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Выбросы вредных веществ в атмосферу увеличиваются в случае размещения химико-технологического оборудования на открытых площадках, нестрогой его герметичности, большого числа наружных технологических коммуникаций. Температура газообразных выбросов многих заводов химической промышленности мало отличается от температуры окружающей атмосферной среды, в результате чего возникает эффект скопления токсических веществ около источников выбросов.</w:t>
      </w:r>
    </w:p>
    <w:p w:rsidR="00D737FA" w:rsidRDefault="00D737FA" w:rsidP="00D73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снижения вредного воздействия предприятий химической промышленности на окружающую среду заключаются в экономии природных ресурсов при производстве, организации оборотного водоснабжения, бессточных производственных схем, более качественная очистка выбросов и стоков с применением современных технологий и утилизацией уловленных загрязняющих веществ, которые могут быть вторично использованы в хозяйстве. Одновременно предотвращается загрязнение рек и водоемов токсичными соединениями. К сожалению, в настоящее время утилизируется лишь незначительная доля отходов крупных промышленных комбинатов.</w:t>
      </w:r>
    </w:p>
    <w:p w:rsidR="00D737FA" w:rsidRDefault="00D737FA" w:rsidP="00D73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большинства предприятий либо просто нет средств на 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либо, если даже такие средства имеются, предприятия не внедряют их вследствие снижения на этапе переоборудования прибыли, на максимизацию которой направлена их основная цель. В связи с этим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использует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небольшое число крупных предприятий, остальные объекты продолжают работать в прежнем режиме.</w:t>
      </w:r>
    </w:p>
    <w:p w:rsidR="00D737FA" w:rsidRDefault="00D737FA" w:rsidP="00D73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данного </w:t>
      </w:r>
      <w:r w:rsidRPr="00D737FA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D737FA">
        <w:rPr>
          <w:sz w:val="28"/>
          <w:szCs w:val="28"/>
        </w:rPr>
        <w:t>‒</w:t>
      </w:r>
      <w:r w:rsidR="001D7DF0">
        <w:rPr>
          <w:sz w:val="28"/>
          <w:szCs w:val="28"/>
        </w:rPr>
        <w:t xml:space="preserve"> </w:t>
      </w:r>
      <w:r w:rsidRPr="00D737FA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влияния предприятий химической промышленности на состояние окружающей среды, а также влияние выбросов на уровень заболеваемости населения.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данной цели необходимо было решить следующие задачи:</w:t>
      </w:r>
    </w:p>
    <w:p w:rsidR="00D737FA" w:rsidRDefault="00D737FA" w:rsidP="00D73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дать общую характеристику химической промышленности РБ и провести анализ выбросов в атмосферный воздух предприятиями химического комплекса;</w:t>
      </w:r>
    </w:p>
    <w:p w:rsidR="00D737FA" w:rsidRDefault="001D7DF0" w:rsidP="00D73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737FA">
        <w:rPr>
          <w:rFonts w:ascii="Times New Roman" w:hAnsi="Times New Roman" w:cs="Times New Roman"/>
          <w:sz w:val="28"/>
          <w:szCs w:val="28"/>
        </w:rPr>
        <w:t xml:space="preserve">) </w:t>
      </w:r>
      <w:r w:rsidR="00D737F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анализ основных заболеваний человека, вызванных выбросами предприятий химической промышленности.</w:t>
      </w:r>
    </w:p>
    <w:p w:rsidR="00D737FA" w:rsidRDefault="00D737FA" w:rsidP="00D737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химической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промышленности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выделяются две главные группы отраслей: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горнохимическая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нефтехимическая, кроме них развиваются лакокрасочная, стекловолоконная и бытовой химии отрасли, фармацевтическая, микробиологическая промышленность. Сейчас на долю химической промышленности приходится более 13 % объема промышленной продукции и 30 % основных производственных средств, 10 % промышленно-производственного персонала. Беларусь называют «республикой большой химии». Около 70 % продукции идет на экспорт. Отрасль специализируется на выпуске минеральных удобрений, химических волокон и нитей, синтетических смол, резинотехнических изделий, шин, лакокрасочных материалов, товаров бытовой химии.</w:t>
      </w:r>
    </w:p>
    <w:p w:rsidR="00D737FA" w:rsidRDefault="00D737FA" w:rsidP="00D737F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Среди факторов размещения наибольшее значение имеют сырьевой, топливно-энергетический и потребительский.</w:t>
      </w:r>
      <w:proofErr w:type="gramEnd"/>
      <w:r>
        <w:rPr>
          <w:color w:val="000000"/>
          <w:sz w:val="28"/>
          <w:szCs w:val="28"/>
        </w:rPr>
        <w:t xml:space="preserve"> В Беларуси к отраслям </w:t>
      </w:r>
      <w:r>
        <w:rPr>
          <w:rStyle w:val="a3"/>
          <w:bCs/>
          <w:color w:val="000000"/>
          <w:sz w:val="28"/>
          <w:szCs w:val="28"/>
        </w:rPr>
        <w:t>сырьевой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ориентации относится </w:t>
      </w:r>
      <w:proofErr w:type="spellStart"/>
      <w:r>
        <w:rPr>
          <w:color w:val="000000"/>
          <w:sz w:val="28"/>
          <w:szCs w:val="28"/>
        </w:rPr>
        <w:t>горнохимическая</w:t>
      </w:r>
      <w:proofErr w:type="spellEnd"/>
      <w:r>
        <w:rPr>
          <w:color w:val="000000"/>
          <w:sz w:val="28"/>
          <w:szCs w:val="28"/>
        </w:rPr>
        <w:t xml:space="preserve"> промышленность,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a3"/>
          <w:bCs/>
          <w:color w:val="000000"/>
          <w:sz w:val="28"/>
          <w:szCs w:val="28"/>
        </w:rPr>
        <w:t xml:space="preserve">топливно-энергетической ‒ </w:t>
      </w:r>
      <w:r>
        <w:rPr>
          <w:color w:val="000000"/>
          <w:sz w:val="28"/>
          <w:szCs w:val="28"/>
        </w:rPr>
        <w:t xml:space="preserve">производство химических волокон и нитей, некоторых видов пластмасс и синтетических смол, к </w:t>
      </w:r>
      <w:r>
        <w:rPr>
          <w:rStyle w:val="a3"/>
          <w:bCs/>
          <w:color w:val="000000"/>
          <w:sz w:val="28"/>
          <w:szCs w:val="28"/>
        </w:rPr>
        <w:t>потребительской</w:t>
      </w:r>
      <w:r>
        <w:rPr>
          <w:color w:val="000000"/>
          <w:sz w:val="28"/>
          <w:szCs w:val="28"/>
        </w:rPr>
        <w:t xml:space="preserve"> ‒ производство автомобильных шин, фосфорных и азотных удобрений, серной кислоты. Заводы бытовой химии и химико-фармацевтические предприятия ориентируются на потребителя, квалифицированные кадры и научный потенциал.</w:t>
      </w:r>
    </w:p>
    <w:p w:rsidR="00D737FA" w:rsidRDefault="00D737FA" w:rsidP="00D737F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особенностям химической промышленности относится активное использование воды не только для вспомогательных целей, но и в качестве сырья. Наибольшее количество воды (6 тыс.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на 1 т готовой продукции) потребляет производство химических волокон.</w:t>
      </w:r>
    </w:p>
    <w:p w:rsidR="00D737FA" w:rsidRDefault="00D737FA" w:rsidP="00D737F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Другой особенностью химической промышленности является использование самого разнообразного сырья. В Беларуси для этих целей используется местное и привозное сырье. К местному сырью относятся калийные соли, продукты нефтепереработки, торф, производственные отходы лесопиления и деревообработки. Из-за пределов страны завозятся природный газ, апатитовый концентрат, самородная сера, серный колчедан, каустическая сода, каучук, десятки видов другого сырья, вспомогательных материалов.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предприятиями химического комплекса Гомельской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примере которых будем рассматривать динамику выбросов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окружающую среду являются: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РУП «Светлогорское Производственное объединение «Химволокно» г. Светлогорск, ОАО  «Гомельский химический завод» г. Гомель,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НПЗ»  г. Мозырь.</w:t>
      </w:r>
      <w:proofErr w:type="gramEnd"/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РУП «Светлогорское Производственное объединение «Химволокно»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крупнейшим государственным предприятием химической промышленности Беларуси и 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себя: завод полиэфирных текстильных нитей; завод искусственного волокна.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продукцией предприятия являются нити вискозные для кордной ткани, вискозная текстильная нить, полиэфирные текстильные нити, термостойкие нити и волокна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Арселон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нетканые материалы, волокнистые углеродные материалы и композиты на их основе.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Продукция предприятия пользуется спросом на внутреннем и внешнем рынках, поставляется в целый ряд стран мира. Имеются давние и отлаженные связи с поставщиками сырья и потребителями готовой продукции. Продукция предприятия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демонстрировалась и завоевала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признание у посетителей ряда международных выставок в Монреале, Барселоне, Познани, Будапеште, Москве.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 ОАО  «Гомельский химический завод» – одно из крупнейших предприятий Беларуси по производству различной химической продукции, и в первую очередь по производству фосфорсодержащих NPK и NP удобрений, азотно-фосфорно-калийных удобрений, аммофоса, суперфосфата аммонизированного,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тукосмесей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различных марок. Гомельский химический завод имеет возможность производства NPK удобрений под определенные культуры и практически с любым набором макро – и микроэлементов в зависимости от желания покупателя.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«Гомельский химический завод» является одним из крупнейших предприятий нефтехимической отрасли Беларуси и единственным в стране выпускающим фосфорсодержащие минеральные удобрения. За короткий срок предприятие значительно расширило свое производство: завод специализируется на выпуске комплексных фосфорсодержащих удобрений, а также продукции неорганического синтеза. С момента основания и по сегодняшний день завод непрерывно совершенствует технологии производства, внося значительный вклад в развитие нефтехимической промышленности страны. ОАО «Гомельский химический завод» поставляет продукцию собственного производства более чем в 20 стран мира. Основными потребителями являются такие страны как: Украина, Польша, Литва, Латвия, Россия, Казахстан, Таджикистан. ОАО «Гомельский химический завод» зарекомендовало себя на рынках стран СНГ и Западной Европы как надёжного поставщика выпускающег</w:t>
      </w:r>
      <w:r w:rsidR="001D7DF0">
        <w:rPr>
          <w:rFonts w:ascii="Times New Roman" w:hAnsi="Times New Roman" w:cs="Times New Roman"/>
          <w:sz w:val="28"/>
          <w:szCs w:val="28"/>
        </w:rPr>
        <w:t>о продукцию высокого качества [1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«Гомельский химический завод» относится к химической отрасли, входит в состав Белорусского государственного концерна по нефти и химии и является монопольным производителем фосфорных минеральных удобрений в Республике Беларусь. В состав предприятия входят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производства: серной кислоты, фосфорной кислоты, минеральных удобрений, фтористых солей, сульфита натрия, химических продуктов.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«Гомельский химический завод» выпускает более 20 видов продукции. В настоящий момент на заводе налажен выпуск комплексных азотно-фосфорно-калийных удобрений марок 5:16:35; 16:16:16; 10:20:20, 16:12:20 и др. для почв различного уровня плодородия и различных сельскохозяйственных культур.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нефтеперерабатывающий завод» ‒ одно из двух белорусских нефтеперерабатывающих предприятий. Завод расположен в промышленной зоне Мозыря в 15 км к югу от жилых массивов города, для связи завода с городом 1988 г. была запущена трамвайная система.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Нефть поступает на завод по нефтепроводу «Дружба»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месторождений. Основной продукцией является автомобильный бензин и дизельное топливо с низким содержанием серы, бытовое печное топливо, бытовой газ, технический бутан и осветительный керосин.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2003 г. был завершен IV этап реконструкции предприятия ‒ строительство комплекса каталитического крекинга.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НПЗ» всегда отличалась высоким качеством: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низким содержанием сернистых соединений в реактивном и дизельном топливах;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отсутствием тетраэтилсвинца в автомобильных бензинах;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высокой теплотворной способностью мазутов.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НПЗ» производит широкий ассортимент нефтепродуктов. Среди них: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топлива: топливо печное бытовое, топочный мазут, бензины автомобильные, дизельное топливо, компонент бензиновый высокооктановый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битумы нефтяные: дорожные нефтяные битумы, кровельные нефтяные битумы, строительные нефтяные битумы;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сжиженные газы: газы углеводородные топливные, фракция бутан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утиленовая;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другие продукты: вакуумные газойли, сера техническая, бензин – сырье для пиролиза, газойль каталитический, бензол нефтяной, керосин экологически улучшенный.</w:t>
      </w: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37FA"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Рисунок </w:t>
      </w:r>
      <w:r w:rsidR="001D7DF0">
        <w:rPr>
          <w:rFonts w:ascii="Times New Roman" w:hAnsi="Times New Roman" w:cs="Times New Roman"/>
          <w:b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 xml:space="preserve">– </w:t>
      </w:r>
      <w:r>
        <w:rPr>
          <w:rFonts w:ascii="Times New Roman" w:hAnsi="Times New Roman" w:cs="Times New Roman"/>
          <w:b/>
          <w:bCs/>
          <w:sz w:val="25"/>
          <w:szCs w:val="25"/>
        </w:rPr>
        <w:t>Выбросы твердых  загрязняющих веществ в атмосферу от стационарных источников, в том числе от объектов химического комплекса об</w:t>
      </w:r>
      <w:r w:rsidR="001D7DF0">
        <w:rPr>
          <w:rFonts w:ascii="Times New Roman" w:hAnsi="Times New Roman" w:cs="Times New Roman"/>
          <w:b/>
          <w:bCs/>
          <w:sz w:val="25"/>
          <w:szCs w:val="25"/>
        </w:rPr>
        <w:t>ласти в 2013‒2018 гг., тыс. т [2</w:t>
      </w:r>
      <w:r>
        <w:rPr>
          <w:rFonts w:ascii="Times New Roman" w:hAnsi="Times New Roman" w:cs="Times New Roman"/>
          <w:b/>
          <w:bCs/>
          <w:sz w:val="25"/>
          <w:szCs w:val="25"/>
        </w:rPr>
        <w:t>]</w:t>
      </w:r>
    </w:p>
    <w:p w:rsidR="00D737FA" w:rsidRDefault="00D737FA" w:rsidP="00D737FA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</w:p>
    <w:p w:rsidR="001D7DF0" w:rsidRDefault="00D737FA" w:rsidP="001D7DF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видно, что объем твердых выбросов по области и по трем предприятиям химического комплекса области сократился за 5 лет в среднем на 33 %, за исключением г. Светлогорска, где по твердым выбросам изменений не произошло.</w:t>
      </w:r>
    </w:p>
    <w:p w:rsidR="00D737FA" w:rsidRPr="001D7DF0" w:rsidRDefault="00D737FA" w:rsidP="001D7DF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Выбросы </w:t>
      </w:r>
      <w:r>
        <w:rPr>
          <w:rFonts w:ascii="Times New Roman" w:hAnsi="Times New Roman" w:cs="Times New Roman"/>
          <w:sz w:val="28"/>
          <w:szCs w:val="28"/>
        </w:rPr>
        <w:t>углерода оксид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атмосферу от стационарных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источников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том числе от объектов химического комплекса области  в 2013‒2018 гг.,  </w:t>
      </w:r>
      <w:r w:rsidR="001D7DF0">
        <w:rPr>
          <w:rFonts w:ascii="Times New Roman" w:hAnsi="Times New Roman" w:cs="Times New Roman"/>
          <w:bCs/>
          <w:sz w:val="28"/>
          <w:szCs w:val="28"/>
        </w:rPr>
        <w:t xml:space="preserve"> тыс. т представлены в таблице 1.</w:t>
      </w:r>
    </w:p>
    <w:p w:rsidR="00D737FA" w:rsidRDefault="00D737FA" w:rsidP="00D737FA">
      <w:pPr>
        <w:pStyle w:val="Default"/>
        <w:ind w:left="2127" w:hanging="1419"/>
        <w:rPr>
          <w:rFonts w:ascii="Times New Roman" w:hAnsi="Times New Roman" w:cs="Times New Roman"/>
          <w:b/>
          <w:bCs/>
          <w:sz w:val="25"/>
          <w:szCs w:val="25"/>
        </w:rPr>
      </w:pPr>
    </w:p>
    <w:p w:rsidR="00D737FA" w:rsidRDefault="00D737FA" w:rsidP="00D737FA">
      <w:pPr>
        <w:pStyle w:val="Default"/>
        <w:ind w:left="2127" w:hanging="1419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Таблица 2 </w:t>
      </w:r>
      <w:r>
        <w:rPr>
          <w:rFonts w:ascii="Times New Roman" w:hAnsi="Times New Roman" w:cs="Times New Roman"/>
          <w:b/>
          <w:sz w:val="25"/>
          <w:szCs w:val="25"/>
        </w:rPr>
        <w:t>–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Выбросы оксида </w:t>
      </w:r>
      <w:r>
        <w:rPr>
          <w:rFonts w:ascii="Times New Roman" w:hAnsi="Times New Roman" w:cs="Times New Roman"/>
          <w:b/>
          <w:sz w:val="25"/>
          <w:szCs w:val="25"/>
        </w:rPr>
        <w:t xml:space="preserve">углерода </w:t>
      </w:r>
      <w:r>
        <w:rPr>
          <w:rFonts w:ascii="Times New Roman" w:hAnsi="Times New Roman" w:cs="Times New Roman"/>
          <w:b/>
          <w:bCs/>
          <w:sz w:val="25"/>
          <w:szCs w:val="25"/>
        </w:rPr>
        <w:t>в атмосферу от стационарных источников, в том числе от объектов химического комплекса области в 2013‒2018 гг.</w:t>
      </w:r>
    </w:p>
    <w:p w:rsidR="00D737FA" w:rsidRDefault="00D737FA" w:rsidP="00D737FA">
      <w:pPr>
        <w:pStyle w:val="Default"/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В тыс. 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0"/>
        <w:gridCol w:w="862"/>
        <w:gridCol w:w="1228"/>
        <w:gridCol w:w="1228"/>
        <w:gridCol w:w="1228"/>
        <w:gridCol w:w="1021"/>
        <w:gridCol w:w="1024"/>
        <w:gridCol w:w="1029"/>
      </w:tblGrid>
      <w:tr w:rsidR="00D737FA" w:rsidTr="00D737FA">
        <w:trPr>
          <w:trHeight w:val="50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rPr>
                <w:rFonts w:cs="Times New Roman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Темп роста %</w:t>
            </w:r>
          </w:p>
        </w:tc>
      </w:tr>
      <w:tr w:rsidR="00D737FA" w:rsidTr="00D737FA">
        <w:trPr>
          <w:trHeight w:val="70"/>
        </w:trPr>
        <w:tc>
          <w:tcPr>
            <w:tcW w:w="1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Гомельская область</w:t>
            </w:r>
          </w:p>
        </w:tc>
        <w:tc>
          <w:tcPr>
            <w:tcW w:w="8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0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94,8</w:t>
            </w:r>
          </w:p>
        </w:tc>
      </w:tr>
      <w:tr w:rsidR="00D737FA" w:rsidTr="00D737F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Мозырь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3,2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3,9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3,9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3,8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90,6</w:t>
            </w:r>
          </w:p>
        </w:tc>
      </w:tr>
      <w:tr w:rsidR="00D737FA" w:rsidTr="00D737F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НПЗ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0,6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89,6</w:t>
            </w:r>
          </w:p>
        </w:tc>
      </w:tr>
      <w:tr w:rsidR="00D737FA" w:rsidTr="00D737FA">
        <w:trPr>
          <w:trHeight w:val="1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6,7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7,5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7,4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6,3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95,5</w:t>
            </w:r>
          </w:p>
        </w:tc>
      </w:tr>
      <w:tr w:rsidR="00D737FA" w:rsidTr="00D737FA">
        <w:trPr>
          <w:trHeight w:val="40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ГХЗ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0,6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0,6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0,5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0,3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D737FA" w:rsidTr="00D737F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Светлогорск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D737FA" w:rsidTr="00D737F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Химволокно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</w:tr>
      <w:tr w:rsidR="00D737FA" w:rsidTr="00D737F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rPr>
                <w:rFonts w:cs="Times New Roman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rPr>
                <w:rFonts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rPr>
                <w:rFonts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rPr>
                <w:rFonts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rPr>
                <w:rFonts w:cs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rPr>
                <w:rFonts w:cs="Times New Roman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rPr>
                <w:rFonts w:cs="Times New Roman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rPr>
                <w:rFonts w:cs="Times New Roman"/>
                <w:lang w:eastAsia="en-US"/>
              </w:rPr>
            </w:pPr>
          </w:p>
        </w:tc>
      </w:tr>
    </w:tbl>
    <w:p w:rsidR="00D737FA" w:rsidRDefault="00D737FA" w:rsidP="00D737F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7FA" w:rsidRDefault="00D737FA" w:rsidP="00D737F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FA" w:rsidRDefault="00D737FA" w:rsidP="00D737F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видно, что объем выбросов  углерода оксида по области и по трем предприятиям химического комплекса области сократился за 5 лет в среднем на 5 %, за исключением г. Светлогорска, где по выбросам оксида углерода изменений не произошло.</w:t>
      </w:r>
    </w:p>
    <w:p w:rsidR="00D737FA" w:rsidRDefault="00D737FA" w:rsidP="00D73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Выбросы </w:t>
      </w:r>
      <w:r>
        <w:rPr>
          <w:rFonts w:ascii="Times New Roman" w:hAnsi="Times New Roman" w:cs="Times New Roman"/>
          <w:sz w:val="28"/>
          <w:szCs w:val="28"/>
        </w:rPr>
        <w:t xml:space="preserve">диоксида серы </w:t>
      </w:r>
      <w:r>
        <w:rPr>
          <w:rFonts w:ascii="Times New Roman" w:hAnsi="Times New Roman" w:cs="Times New Roman"/>
          <w:bCs/>
          <w:sz w:val="28"/>
          <w:szCs w:val="28"/>
        </w:rPr>
        <w:t>в атмосферу от стационарных источников, в том числе от объектов химического комплекса области  в 2013‒2018 гг.,   т</w:t>
      </w:r>
      <w:r w:rsidR="001D7DF0">
        <w:rPr>
          <w:rFonts w:ascii="Times New Roman" w:hAnsi="Times New Roman" w:cs="Times New Roman"/>
          <w:bCs/>
          <w:sz w:val="28"/>
          <w:szCs w:val="28"/>
        </w:rPr>
        <w:t>ыс. т. представлены в таблице 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D7DF0" w:rsidRDefault="001D7DF0" w:rsidP="00D737F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hanging="1419"/>
        <w:rPr>
          <w:rFonts w:ascii="Times New Roman" w:hAnsi="Times New Roman" w:cs="Times New Roman"/>
          <w:b/>
          <w:bCs/>
          <w:sz w:val="25"/>
          <w:szCs w:val="25"/>
        </w:rPr>
      </w:pPr>
    </w:p>
    <w:p w:rsidR="00D737FA" w:rsidRDefault="001D7DF0" w:rsidP="00D737F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hanging="1419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Таблица 2</w:t>
      </w:r>
      <w:r w:rsidR="00D737F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D737FA">
        <w:rPr>
          <w:rFonts w:ascii="Times New Roman" w:hAnsi="Times New Roman" w:cs="Times New Roman"/>
          <w:b/>
          <w:sz w:val="25"/>
          <w:szCs w:val="25"/>
        </w:rPr>
        <w:t>–</w:t>
      </w:r>
      <w:r w:rsidR="00D737FA">
        <w:rPr>
          <w:rFonts w:ascii="Times New Roman" w:hAnsi="Times New Roman" w:cs="Times New Roman"/>
          <w:b/>
          <w:bCs/>
          <w:sz w:val="25"/>
          <w:szCs w:val="25"/>
        </w:rPr>
        <w:t xml:space="preserve"> Выбросы </w:t>
      </w:r>
      <w:r w:rsidR="00D737FA">
        <w:rPr>
          <w:rFonts w:ascii="Times New Roman" w:hAnsi="Times New Roman" w:cs="Times New Roman"/>
          <w:b/>
          <w:sz w:val="25"/>
          <w:szCs w:val="25"/>
        </w:rPr>
        <w:t xml:space="preserve">диоксида серы </w:t>
      </w:r>
      <w:r w:rsidR="00D737FA">
        <w:rPr>
          <w:rFonts w:ascii="Times New Roman" w:hAnsi="Times New Roman" w:cs="Times New Roman"/>
          <w:b/>
          <w:bCs/>
          <w:sz w:val="25"/>
          <w:szCs w:val="25"/>
        </w:rPr>
        <w:t>в атмосферу от стационарных источников, в том числе от объектов химического комплекса области  в 2013‒2018 гг.</w:t>
      </w:r>
    </w:p>
    <w:p w:rsidR="00D737FA" w:rsidRDefault="00D737FA" w:rsidP="00D737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В тыс. 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992"/>
        <w:gridCol w:w="1134"/>
        <w:gridCol w:w="1134"/>
        <w:gridCol w:w="993"/>
        <w:gridCol w:w="1275"/>
        <w:gridCol w:w="957"/>
      </w:tblGrid>
      <w:tr w:rsidR="00D737FA" w:rsidTr="00D737FA">
        <w:trPr>
          <w:trHeight w:val="5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Темп роста %</w:t>
            </w:r>
          </w:p>
        </w:tc>
      </w:tr>
      <w:tr w:rsidR="00D737FA" w:rsidTr="00D737FA">
        <w:trPr>
          <w:trHeight w:val="70"/>
        </w:trPr>
        <w:tc>
          <w:tcPr>
            <w:tcW w:w="1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Гомельская область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18,3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21,8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115,3</w:t>
            </w:r>
          </w:p>
        </w:tc>
      </w:tr>
      <w:tr w:rsidR="00D737FA" w:rsidTr="00D737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Мозырь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1,96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94,3</w:t>
            </w:r>
          </w:p>
        </w:tc>
      </w:tr>
      <w:tr w:rsidR="00D737FA" w:rsidTr="00D737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НПЗ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1,61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1,76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</w:tr>
      <w:tr w:rsidR="00D737FA" w:rsidTr="00D737FA">
        <w:trPr>
          <w:trHeight w:val="1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13,51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92,8</w:t>
            </w:r>
          </w:p>
        </w:tc>
      </w:tr>
      <w:tr w:rsidR="00D737FA" w:rsidTr="00D737FA">
        <w:trPr>
          <w:trHeight w:val="1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ГХЗ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0,07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</w:t>
            </w:r>
          </w:p>
        </w:tc>
      </w:tr>
      <w:tr w:rsidR="00D737FA" w:rsidTr="00D737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3,27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123,5</w:t>
            </w:r>
          </w:p>
        </w:tc>
      </w:tr>
      <w:tr w:rsidR="00D737FA" w:rsidTr="00D737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Химволокно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2,64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Default="00D73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135,2</w:t>
            </w:r>
          </w:p>
        </w:tc>
      </w:tr>
    </w:tbl>
    <w:p w:rsidR="00D737FA" w:rsidRDefault="00D737FA" w:rsidP="00D73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причин общей смертности первое место принадлежит заболеваниям, относящимся к классу болезней системы кровообращения. Удельный вес смертности от данной причины в структуре причин общей смертно</w:t>
      </w:r>
      <w:r w:rsidR="001D7DF0">
        <w:rPr>
          <w:rFonts w:ascii="Times New Roman" w:hAnsi="Times New Roman" w:cs="Times New Roman"/>
          <w:sz w:val="28"/>
          <w:szCs w:val="28"/>
        </w:rPr>
        <w:t xml:space="preserve">сти составил 56,3 % </w:t>
      </w:r>
      <w:r>
        <w:rPr>
          <w:rFonts w:ascii="Times New Roman" w:hAnsi="Times New Roman" w:cs="Times New Roman"/>
          <w:sz w:val="28"/>
          <w:szCs w:val="28"/>
        </w:rPr>
        <w:t xml:space="preserve">. Смертность от новообразований в Гомельской области занимает второе место (15,6 %). На третьем месте – симптомы, признаки и отклонения от нормы, выявленные при клинических и лабораторных исследованиях, не классифицированные в других рубриках. 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Четвертую часть всех умерших Гомельской области, вызываемые  выбросами предприятий химической промышленности в 2018 г. составили лица трудоспособного возраста, причем 84,6 % из них – мужчины. Первое место в структуре смертности трудоспособного населения занимают болезни системы кровообращения. От этих болезней умерло 1182 человека (33,6 %) трудоспособного возраста, причем в городе от данной причины умерло в 2 раз больше, чем в сельской местности (784 и 398 соответственно). Мужчин умерло в 6 раз больше, чем женщин. 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месте стоят внешние причины 889 человек или 25,3 % умерших стали жертвами несчастных случаев, отравлений и травм, причем 28,3 % из них ушли из жизни по собственной воле (самоубийства и самоповреждения). 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Третье место в структуре смертности трудоспособного населения занимают новообразования 20,6 </w:t>
      </w:r>
      <w:r w:rsidR="001D7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связанное с увеличением выбросов серы.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заболеваемости, которые принято относить к группе отрицательных показателей здоровья, вызываемые  выбросами предприятий химической промышленности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характеристики здоровья населения, так как главным образом от них зависит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и уровень смертности. В 2018 г. показатель первичной заболеваемости среди всего населения области и в возрастной группе взрослые старше 15 лет по сравнению с предыдущим годом увеличился на 1,9 % и 0,25 %, и составил, соответственно, 779,6 и 553,1 случа</w:t>
      </w:r>
      <w:r w:rsidR="001D7DF0">
        <w:rPr>
          <w:rFonts w:ascii="Times New Roman" w:hAnsi="Times New Roman" w:cs="Times New Roman"/>
          <w:sz w:val="28"/>
          <w:szCs w:val="28"/>
        </w:rPr>
        <w:t>я на 1000 населения</w:t>
      </w:r>
      <w:r>
        <w:rPr>
          <w:rFonts w:ascii="Times New Roman" w:hAnsi="Times New Roman" w:cs="Times New Roman"/>
          <w:sz w:val="28"/>
          <w:szCs w:val="28"/>
        </w:rPr>
        <w:t>. В последние десять лет уровень первичной заболеваемости среди всего населения области стабилен, среди взрослого населения с 15 лет отмечается умеренная тенденция к снижению.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Выраженную тенденцию к росту среди всего населения области за анализируемый период имеют показатели заболеваемости (среднегодовой темп прироста 8,9 %), вызываемые  выбросами предприятий химической промышленности. Произошло снижение заболеваемости болезнями нервной системы (среднегодовой темп снижения 8,4 %) и болезнями органов пищеварения (6,6 %). Незначительное увеличение заболеваемости всего населения области в 2018 г. в сравнении с 2017 г. обусловлено увеличением значения показателя заболеваемости болезнями нервной системы (9,1 %), болезнями органами дыхания (4,7 %), болезнями крови и кроветворных органов (3,2 %).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г. валовый выброс вредных веществ в атмосферу от предприятий химического производства составил 110 138 т, что на 5 % больше по сравнению с 2017 г. В связи с выбросами в атмосферный воздух от предприятий химического производства на территории области остается актуальной проблема загрязнения воздуха крупных городов.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Гомельской области общая динамика 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заболеваемости населения, вызываемые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выбросами предприятий химической промышленности  оценивается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стабильная. 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заболеваемости взрослого населения произошло за счет снижения частоты впервые выявленных болезней нервной системы, болезней органов пищеварения, и болезней системы кровообращения. Произошло увеличение заболеваемости более чем на 5 %, связанные с увеличением  выбросов серы.</w:t>
      </w:r>
    </w:p>
    <w:p w:rsidR="00D737FA" w:rsidRDefault="00D737FA" w:rsidP="00D7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Нозологическая структура общей заболеваемости не изменяется на протяжении нескольких лет: около половины всех впервые зарегистрированных случаев заболеваний составляют болезни органов дыхания, на втором месте стоят отравления и некоторые другие последствия воздействия внешних причин, на третьем – болезни кожи и подкожной клетчатки, на четвертом – болезни костно-мышечной системы.</w:t>
      </w:r>
    </w:p>
    <w:p w:rsidR="00D737FA" w:rsidRDefault="00D737FA" w:rsidP="00D737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F0" w:rsidRDefault="001D7DF0" w:rsidP="00D737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E2" w:rsidRDefault="00D737FA" w:rsidP="00D73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7F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D7DF0" w:rsidRDefault="001D7DF0" w:rsidP="001D7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 Сельский вектор Гомельского химзавода / С.В.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‒ Минск: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Гомельская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2014.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№ 59.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С. 7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A0315" w:rsidRDefault="001D7DF0" w:rsidP="008A03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2</w:t>
      </w:r>
      <w:r w:rsidR="008A0315">
        <w:rPr>
          <w:rFonts w:ascii="Times New Roman" w:hAnsi="Times New Roman" w:cs="Times New Roman"/>
          <w:sz w:val="28"/>
          <w:szCs w:val="28"/>
        </w:rPr>
        <w:t xml:space="preserve"> Состояние природной среды Беларуси: экологический бюллетень, 2018 г. / Под ред. В.Ф. Логинова. – М.: </w:t>
      </w:r>
      <w:proofErr w:type="spellStart"/>
      <w:r w:rsidR="008A0315">
        <w:rPr>
          <w:rFonts w:ascii="Times New Roman" w:hAnsi="Times New Roman" w:cs="Times New Roman"/>
          <w:sz w:val="28"/>
          <w:szCs w:val="28"/>
        </w:rPr>
        <w:t>Минстиппроект</w:t>
      </w:r>
      <w:proofErr w:type="spellEnd"/>
      <w:r w:rsidR="008A0315">
        <w:rPr>
          <w:rFonts w:ascii="Times New Roman" w:hAnsi="Times New Roman" w:cs="Times New Roman"/>
          <w:sz w:val="28"/>
          <w:szCs w:val="28"/>
        </w:rPr>
        <w:t>, 2018 г.</w:t>
      </w:r>
    </w:p>
    <w:p w:rsidR="001D7DF0" w:rsidRDefault="008A0315" w:rsidP="008A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7DF0" w:rsidRPr="00D737FA" w:rsidRDefault="001D7DF0" w:rsidP="00D737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7DF0" w:rsidRPr="00D737FA" w:rsidSect="0056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FA"/>
    <w:rsid w:val="001D7DF0"/>
    <w:rsid w:val="00381920"/>
    <w:rsid w:val="004F4686"/>
    <w:rsid w:val="00562856"/>
    <w:rsid w:val="006649C6"/>
    <w:rsid w:val="008A0315"/>
    <w:rsid w:val="00D737FA"/>
    <w:rsid w:val="00E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37FA"/>
    <w:rPr>
      <w:i/>
      <w:iCs/>
    </w:rPr>
  </w:style>
  <w:style w:type="character" w:styleId="a4">
    <w:name w:val="Strong"/>
    <w:basedOn w:val="a0"/>
    <w:uiPriority w:val="22"/>
    <w:qFormat/>
    <w:rsid w:val="00D737FA"/>
    <w:rPr>
      <w:b/>
      <w:bCs/>
    </w:rPr>
  </w:style>
  <w:style w:type="paragraph" w:styleId="a5">
    <w:name w:val="Normal (Web)"/>
    <w:basedOn w:val="a"/>
    <w:uiPriority w:val="99"/>
    <w:unhideWhenUsed/>
    <w:rsid w:val="00D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D737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D73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819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37FA"/>
    <w:rPr>
      <w:i/>
      <w:iCs/>
    </w:rPr>
  </w:style>
  <w:style w:type="character" w:styleId="a4">
    <w:name w:val="Strong"/>
    <w:basedOn w:val="a0"/>
    <w:uiPriority w:val="22"/>
    <w:qFormat/>
    <w:rsid w:val="00D737FA"/>
    <w:rPr>
      <w:b/>
      <w:bCs/>
    </w:rPr>
  </w:style>
  <w:style w:type="paragraph" w:styleId="a5">
    <w:name w:val="Normal (Web)"/>
    <w:basedOn w:val="a"/>
    <w:uiPriority w:val="99"/>
    <w:unhideWhenUsed/>
    <w:rsid w:val="00D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D737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D73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81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Лист1!$B$25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Лист1!$A$26:$A$32</c:f>
              <c:strCache>
                <c:ptCount val="7"/>
                <c:pt idx="0">
                  <c:v>Гомельская область</c:v>
                </c:pt>
                <c:pt idx="1">
                  <c:v>Мозырь</c:v>
                </c:pt>
                <c:pt idx="2">
                  <c:v>ОАО НПЗ</c:v>
                </c:pt>
                <c:pt idx="3">
                  <c:v>Гомель</c:v>
                </c:pt>
                <c:pt idx="4">
                  <c:v>ОАО ГХЗ</c:v>
                </c:pt>
                <c:pt idx="5">
                  <c:v>Светлогорск</c:v>
                </c:pt>
                <c:pt idx="6">
                  <c:v>РУП Химволокно</c:v>
                </c:pt>
              </c:strCache>
            </c:strRef>
          </c:cat>
          <c:val>
            <c:numRef>
              <c:f>Лист1!$B$26:$B$32</c:f>
              <c:numCache>
                <c:formatCode>General</c:formatCode>
                <c:ptCount val="7"/>
                <c:pt idx="0">
                  <c:v>6.6</c:v>
                </c:pt>
                <c:pt idx="1">
                  <c:v>1.2</c:v>
                </c:pt>
                <c:pt idx="2">
                  <c:v>0.9</c:v>
                </c:pt>
                <c:pt idx="3">
                  <c:v>1.7000000000000024</c:v>
                </c:pt>
                <c:pt idx="4">
                  <c:v>1.0000000000000045E-2</c:v>
                </c:pt>
                <c:pt idx="5">
                  <c:v>0.1</c:v>
                </c:pt>
                <c:pt idx="6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70-48C2-9E78-E3F19382ECF8}"/>
            </c:ext>
          </c:extLst>
        </c:ser>
        <c:ser>
          <c:idx val="1"/>
          <c:order val="1"/>
          <c:tx>
            <c:strRef>
              <c:f>Лист1!$C$25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Лист1!$A$26:$A$32</c:f>
              <c:strCache>
                <c:ptCount val="7"/>
                <c:pt idx="0">
                  <c:v>Гомельская область</c:v>
                </c:pt>
                <c:pt idx="1">
                  <c:v>Мозырь</c:v>
                </c:pt>
                <c:pt idx="2">
                  <c:v>ОАО НПЗ</c:v>
                </c:pt>
                <c:pt idx="3">
                  <c:v>Гомель</c:v>
                </c:pt>
                <c:pt idx="4">
                  <c:v>ОАО ГХЗ</c:v>
                </c:pt>
                <c:pt idx="5">
                  <c:v>Светлогорск</c:v>
                </c:pt>
                <c:pt idx="6">
                  <c:v>РУП Химволокно</c:v>
                </c:pt>
              </c:strCache>
            </c:strRef>
          </c:cat>
          <c:val>
            <c:numRef>
              <c:f>Лист1!$C$26:$C$32</c:f>
              <c:numCache>
                <c:formatCode>General</c:formatCode>
                <c:ptCount val="7"/>
                <c:pt idx="0">
                  <c:v>5.7</c:v>
                </c:pt>
                <c:pt idx="1">
                  <c:v>1</c:v>
                </c:pt>
                <c:pt idx="2">
                  <c:v>0.8</c:v>
                </c:pt>
                <c:pt idx="3">
                  <c:v>1.5</c:v>
                </c:pt>
                <c:pt idx="4">
                  <c:v>1.0000000000000045E-2</c:v>
                </c:pt>
                <c:pt idx="5">
                  <c:v>0.1</c:v>
                </c:pt>
                <c:pt idx="6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70-48C2-9E78-E3F19382ECF8}"/>
            </c:ext>
          </c:extLst>
        </c:ser>
        <c:ser>
          <c:idx val="2"/>
          <c:order val="2"/>
          <c:tx>
            <c:strRef>
              <c:f>Лист1!$D$25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Лист1!$A$26:$A$32</c:f>
              <c:strCache>
                <c:ptCount val="7"/>
                <c:pt idx="0">
                  <c:v>Гомельская область</c:v>
                </c:pt>
                <c:pt idx="1">
                  <c:v>Мозырь</c:v>
                </c:pt>
                <c:pt idx="2">
                  <c:v>ОАО НПЗ</c:v>
                </c:pt>
                <c:pt idx="3">
                  <c:v>Гомель</c:v>
                </c:pt>
                <c:pt idx="4">
                  <c:v>ОАО ГХЗ</c:v>
                </c:pt>
                <c:pt idx="5">
                  <c:v>Светлогорск</c:v>
                </c:pt>
                <c:pt idx="6">
                  <c:v>РУП Химволокно</c:v>
                </c:pt>
              </c:strCache>
            </c:strRef>
          </c:cat>
          <c:val>
            <c:numRef>
              <c:f>Лист1!$D$26:$D$32</c:f>
              <c:numCache>
                <c:formatCode>General</c:formatCode>
                <c:ptCount val="7"/>
                <c:pt idx="0">
                  <c:v>5.5</c:v>
                </c:pt>
                <c:pt idx="1">
                  <c:v>0.9</c:v>
                </c:pt>
                <c:pt idx="2">
                  <c:v>0.70000000000000062</c:v>
                </c:pt>
                <c:pt idx="3">
                  <c:v>1.4</c:v>
                </c:pt>
                <c:pt idx="4">
                  <c:v>1.0000000000000045E-2</c:v>
                </c:pt>
                <c:pt idx="5">
                  <c:v>0.1</c:v>
                </c:pt>
                <c:pt idx="6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70-48C2-9E78-E3F19382ECF8}"/>
            </c:ext>
          </c:extLst>
        </c:ser>
        <c:ser>
          <c:idx val="3"/>
          <c:order val="3"/>
          <c:tx>
            <c:strRef>
              <c:f>Лист1!$E$25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Лист1!$A$26:$A$32</c:f>
              <c:strCache>
                <c:ptCount val="7"/>
                <c:pt idx="0">
                  <c:v>Гомельская область</c:v>
                </c:pt>
                <c:pt idx="1">
                  <c:v>Мозырь</c:v>
                </c:pt>
                <c:pt idx="2">
                  <c:v>ОАО НПЗ</c:v>
                </c:pt>
                <c:pt idx="3">
                  <c:v>Гомель</c:v>
                </c:pt>
                <c:pt idx="4">
                  <c:v>ОАО ГХЗ</c:v>
                </c:pt>
                <c:pt idx="5">
                  <c:v>Светлогорск</c:v>
                </c:pt>
                <c:pt idx="6">
                  <c:v>РУП Химволокно</c:v>
                </c:pt>
              </c:strCache>
            </c:strRef>
          </c:cat>
          <c:val>
            <c:numRef>
              <c:f>Лист1!$E$26:$E$32</c:f>
              <c:numCache>
                <c:formatCode>General</c:formatCode>
                <c:ptCount val="7"/>
                <c:pt idx="0">
                  <c:v>5.5</c:v>
                </c:pt>
                <c:pt idx="1">
                  <c:v>0.8</c:v>
                </c:pt>
                <c:pt idx="2">
                  <c:v>0.70000000000000062</c:v>
                </c:pt>
                <c:pt idx="3">
                  <c:v>1.4</c:v>
                </c:pt>
                <c:pt idx="4">
                  <c:v>8.0000000000000227E-3</c:v>
                </c:pt>
                <c:pt idx="5">
                  <c:v>0.1</c:v>
                </c:pt>
                <c:pt idx="6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470-48C2-9E78-E3F19382ECF8}"/>
            </c:ext>
          </c:extLst>
        </c:ser>
        <c:ser>
          <c:idx val="4"/>
          <c:order val="4"/>
          <c:tx>
            <c:strRef>
              <c:f>Лист1!$F$25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Лист1!$A$26:$A$32</c:f>
              <c:strCache>
                <c:ptCount val="7"/>
                <c:pt idx="0">
                  <c:v>Гомельская область</c:v>
                </c:pt>
                <c:pt idx="1">
                  <c:v>Мозырь</c:v>
                </c:pt>
                <c:pt idx="2">
                  <c:v>ОАО НПЗ</c:v>
                </c:pt>
                <c:pt idx="3">
                  <c:v>Гомель</c:v>
                </c:pt>
                <c:pt idx="4">
                  <c:v>ОАО ГХЗ</c:v>
                </c:pt>
                <c:pt idx="5">
                  <c:v>Светлогорск</c:v>
                </c:pt>
                <c:pt idx="6">
                  <c:v>РУП Химволокно</c:v>
                </c:pt>
              </c:strCache>
            </c:strRef>
          </c:cat>
          <c:val>
            <c:numRef>
              <c:f>Лист1!$F$26:$F$32</c:f>
              <c:numCache>
                <c:formatCode>General</c:formatCode>
                <c:ptCount val="7"/>
                <c:pt idx="0">
                  <c:v>5.4</c:v>
                </c:pt>
                <c:pt idx="1">
                  <c:v>0.8</c:v>
                </c:pt>
                <c:pt idx="2">
                  <c:v>0.60000000000000064</c:v>
                </c:pt>
                <c:pt idx="3">
                  <c:v>1.3</c:v>
                </c:pt>
                <c:pt idx="4">
                  <c:v>7.0000000000000331E-3</c:v>
                </c:pt>
                <c:pt idx="5">
                  <c:v>0.1</c:v>
                </c:pt>
                <c:pt idx="6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470-48C2-9E78-E3F19382ECF8}"/>
            </c:ext>
          </c:extLst>
        </c:ser>
        <c:ser>
          <c:idx val="5"/>
          <c:order val="5"/>
          <c:tx>
            <c:strRef>
              <c:f>Лист1!$G$25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Лист1!$A$26:$A$32</c:f>
              <c:strCache>
                <c:ptCount val="7"/>
                <c:pt idx="0">
                  <c:v>Гомельская область</c:v>
                </c:pt>
                <c:pt idx="1">
                  <c:v>Мозырь</c:v>
                </c:pt>
                <c:pt idx="2">
                  <c:v>ОАО НПЗ</c:v>
                </c:pt>
                <c:pt idx="3">
                  <c:v>Гомель</c:v>
                </c:pt>
                <c:pt idx="4">
                  <c:v>ОАО ГХЗ</c:v>
                </c:pt>
                <c:pt idx="5">
                  <c:v>Светлогорск</c:v>
                </c:pt>
                <c:pt idx="6">
                  <c:v>РУП Химволокно</c:v>
                </c:pt>
              </c:strCache>
            </c:strRef>
          </c:cat>
          <c:val>
            <c:numRef>
              <c:f>Лист1!$G$26:$G$32</c:f>
              <c:numCache>
                <c:formatCode>General</c:formatCode>
                <c:ptCount val="7"/>
                <c:pt idx="0">
                  <c:v>4.4000000000000004</c:v>
                </c:pt>
                <c:pt idx="1">
                  <c:v>0.70000000000000062</c:v>
                </c:pt>
                <c:pt idx="2">
                  <c:v>0.60000000000000064</c:v>
                </c:pt>
                <c:pt idx="3">
                  <c:v>0.9</c:v>
                </c:pt>
                <c:pt idx="4">
                  <c:v>6.0000000000000305E-3</c:v>
                </c:pt>
                <c:pt idx="5">
                  <c:v>0.1</c:v>
                </c:pt>
                <c:pt idx="6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470-48C2-9E78-E3F19382EC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44320"/>
        <c:axId val="66771200"/>
      </c:barChart>
      <c:catAx>
        <c:axId val="66744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771200"/>
        <c:crosses val="autoZero"/>
        <c:auto val="1"/>
        <c:lblAlgn val="ctr"/>
        <c:lblOffset val="100"/>
        <c:noMultiLvlLbl val="0"/>
      </c:catAx>
      <c:valAx>
        <c:axId val="6677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7443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42BB7-B4C2-4D6A-A348-52F9AED5DE03}"/>
</file>

<file path=customXml/itemProps2.xml><?xml version="1.0" encoding="utf-8"?>
<ds:datastoreItem xmlns:ds="http://schemas.openxmlformats.org/officeDocument/2006/customXml" ds:itemID="{5D28DC1D-27A6-4FD4-818B-D43A5B8D3B9A}"/>
</file>

<file path=customXml/itemProps3.xml><?xml version="1.0" encoding="utf-8"?>
<ds:datastoreItem xmlns:ds="http://schemas.openxmlformats.org/officeDocument/2006/customXml" ds:itemID="{1809C9B9-5E27-4352-B8FD-5A2F8EBC1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Oksana Kovalyova</cp:lastModifiedBy>
  <cp:revision>3</cp:revision>
  <dcterms:created xsi:type="dcterms:W3CDTF">2020-04-27T05:21:00Z</dcterms:created>
  <dcterms:modified xsi:type="dcterms:W3CDTF">2020-05-06T09:11:00Z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